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00" w:type="pct"/>
        <w:jc w:val="center"/>
        <w:tblCellSpacing w:w="15" w:type="dxa"/>
        <w:tblCellMar>
          <w:top w:w="15" w:type="dxa"/>
          <w:left w:w="15" w:type="dxa"/>
          <w:bottom w:w="15" w:type="dxa"/>
          <w:right w:w="15" w:type="dxa"/>
        </w:tblCellMar>
        <w:tblLook w:val="04A0" w:firstRow="1" w:lastRow="0" w:firstColumn="1" w:lastColumn="0" w:noHBand="0" w:noVBand="1"/>
      </w:tblPr>
      <w:tblGrid>
        <w:gridCol w:w="8571"/>
      </w:tblGrid>
      <w:tr w:rsidR="00000000">
        <w:trPr>
          <w:tblCellSpacing w:w="15" w:type="dxa"/>
          <w:jc w:val="center"/>
        </w:trPr>
        <w:tc>
          <w:tcPr>
            <w:tcW w:w="0" w:type="auto"/>
            <w:vAlign w:val="center"/>
            <w:hideMark/>
          </w:tcPr>
          <w:p w:rsidR="00000000" w:rsidRDefault="007C189E">
            <w:pPr>
              <w:rPr>
                <w:rFonts w:eastAsia="Times New Roman"/>
              </w:rPr>
            </w:pPr>
            <w:r>
              <w:rPr>
                <w:rFonts w:eastAsia="Times New Roman"/>
              </w:rPr>
              <w:pict>
                <v:rect id="_x0000_i1025" style="width:0;height:1.5pt" o:hralign="center" o:hrstd="t" o:hr="t" fillcolor="#a0a0a0" stroked="f"/>
              </w:pict>
            </w:r>
          </w:p>
          <w:p w:rsidR="00000000" w:rsidRDefault="007C189E">
            <w:pPr>
              <w:pStyle w:val="NormalWeb"/>
              <w:jc w:val="center"/>
            </w:pPr>
            <w:r>
              <w:rPr>
                <w:rStyle w:val="Textoennegrita"/>
                <w:u w:val="single"/>
              </w:rPr>
              <w:t>DECRETO SUPREMO N° 2753</w:t>
            </w:r>
            <w:r>
              <w:br/>
            </w:r>
            <w:r>
              <w:rPr>
                <w:rStyle w:val="Textoennegrita"/>
                <w:u w:val="single"/>
              </w:rPr>
              <w:t>EVO MORALES AYMA</w:t>
            </w:r>
            <w:r>
              <w:br/>
            </w:r>
            <w:r>
              <w:rPr>
                <w:rStyle w:val="Textoennegrita"/>
                <w:u w:val="single"/>
              </w:rPr>
              <w:t>PRESIDENTE CONSTITUCIONAL DEL ESTADO PLURINACIONAL DE BOLIVIA</w:t>
            </w:r>
          </w:p>
          <w:p w:rsidR="00000000" w:rsidRDefault="007C189E">
            <w:pPr>
              <w:pStyle w:val="NormalWeb"/>
              <w:jc w:val="center"/>
            </w:pPr>
            <w:r>
              <w:rPr>
                <w:u w:val="single"/>
              </w:rPr>
              <w:t> </w:t>
            </w:r>
          </w:p>
          <w:p w:rsidR="00000000" w:rsidRDefault="007C189E">
            <w:pPr>
              <w:pStyle w:val="NormalWeb"/>
            </w:pPr>
            <w:r>
              <w:rPr>
                <w:rStyle w:val="Textoennegrita"/>
              </w:rPr>
              <w:t>CONSIDERANDO:</w:t>
            </w:r>
          </w:p>
          <w:p w:rsidR="00000000" w:rsidRDefault="007C189E">
            <w:pPr>
              <w:pStyle w:val="NormalWeb"/>
            </w:pPr>
            <w:r>
              <w:t>Que el Artículo 10 de la Ley N° 1178, de 20 de julio de 1990, de Administración y Control Gubernament</w:t>
            </w:r>
            <w:r>
              <w:t>ales, determina que el Sistema de Administración de Bienes y Servicios establecerá la forma de contratación, manejo y disposición de bienes y servicios.</w:t>
            </w:r>
          </w:p>
          <w:p w:rsidR="00000000" w:rsidRDefault="007C189E">
            <w:pPr>
              <w:pStyle w:val="NormalWeb"/>
            </w:pPr>
            <w:r>
              <w:t xml:space="preserve">Que el inciso a) del Artículo 20 de la Ley N° 1178, establece que todos los sistemas serán regidos por </w:t>
            </w:r>
            <w:r>
              <w:t>órganos rectores, cuyas atribuciones entre otras, se encuentra la de emitir las normas y reglamentos básicos para cada sistema.</w:t>
            </w:r>
          </w:p>
          <w:p w:rsidR="00000000" w:rsidRDefault="007C189E">
            <w:pPr>
              <w:pStyle w:val="NormalWeb"/>
            </w:pPr>
            <w:r>
              <w:t>Que el inciso d) del Artículo 52 del Decreto Supremo N° 29894, de 7 de febrero de 2009, Organización del Órgano Ejecutivo, señal</w:t>
            </w:r>
            <w:r>
              <w:t>a que es atribución de la Ministra(o) de Economía y Finanzas Públicas, ejercer las facultades de Autoridad Fiscal y Órgano Rector de las normas de gestión pública.</w:t>
            </w:r>
          </w:p>
          <w:p w:rsidR="00000000" w:rsidRDefault="007C189E">
            <w:pPr>
              <w:pStyle w:val="NormalWeb"/>
            </w:pPr>
            <w:r>
              <w:t xml:space="preserve">Que el inciso a) del Artículo 9 del Decreto Supremo Nº 0181, de 28 de junio de 2009, Normas </w:t>
            </w:r>
            <w:r>
              <w:t>Básicas del Sistema de Administración de Bienes y Servicios, dispone que el Ministerio de Economía y Finanzas Públicas como Órgano Rector tiene entre otras la atribución de revisar, actualizar y emitir las Normas Básicas del Sistema de Administración de Bi</w:t>
            </w:r>
            <w:r>
              <w:t>enes y Servicios – NB-SABS y su reglamentación.</w:t>
            </w:r>
          </w:p>
          <w:p w:rsidR="00000000" w:rsidRDefault="007C189E">
            <w:pPr>
              <w:pStyle w:val="NormalWeb"/>
            </w:pPr>
            <w:r>
              <w:t>Que con el propósito de incentivar la producción de bienes nacionales y su posterior fomento a la compra de los mismos, se plantean modificaciones al Decreto Supremo Nº 0181.</w:t>
            </w:r>
          </w:p>
          <w:p w:rsidR="00000000" w:rsidRDefault="007C189E">
            <w:pPr>
              <w:pStyle w:val="NormalWeb"/>
              <w:jc w:val="center"/>
            </w:pPr>
            <w:r>
              <w:rPr>
                <w:rStyle w:val="Textoennegrita"/>
              </w:rPr>
              <w:t>EN CONSEJO DE MINISTROS,</w:t>
            </w:r>
          </w:p>
          <w:p w:rsidR="00000000" w:rsidRDefault="007C189E">
            <w:pPr>
              <w:pStyle w:val="NormalWeb"/>
            </w:pPr>
            <w:r>
              <w:rPr>
                <w:rStyle w:val="Textoennegrita"/>
              </w:rPr>
              <w:t>DECRETA:</w:t>
            </w:r>
          </w:p>
          <w:p w:rsidR="00000000" w:rsidRDefault="007C189E">
            <w:pPr>
              <w:pStyle w:val="NormalWeb"/>
            </w:pPr>
            <w:r>
              <w:rPr>
                <w:rStyle w:val="Textoennegrita"/>
              </w:rPr>
              <w:t>ARTÍCULO 1.- (OBJETO).</w:t>
            </w:r>
            <w:r>
              <w:t xml:space="preserve"> El presente Decreto Supremo tiene por objeto establecer modificaciones al Decreto Supremo Nº 0181, de 28 de junio de 2009, Normas Básicas del Sistema de Administración de Bienes y Servicios.</w:t>
            </w:r>
            <w:bookmarkStart w:id="0" w:name="_GoBack"/>
            <w:bookmarkEnd w:id="0"/>
          </w:p>
          <w:p w:rsidR="00000000" w:rsidRDefault="007C189E">
            <w:pPr>
              <w:pStyle w:val="NormalWeb"/>
            </w:pPr>
            <w:r>
              <w:rPr>
                <w:rStyle w:val="Textoennegrita"/>
              </w:rPr>
              <w:t xml:space="preserve">ARTÍCULO 2.- (MODIFICACIONES). </w:t>
            </w:r>
          </w:p>
          <w:p w:rsidR="00000000" w:rsidRDefault="007C189E">
            <w:pPr>
              <w:pStyle w:val="NormalWeb"/>
            </w:pPr>
            <w:r>
              <w:rPr>
                <w:rStyle w:val="Textoennegrita"/>
              </w:rPr>
              <w:t>I.</w:t>
            </w:r>
            <w:r>
              <w:t xml:space="preserve">       </w:t>
            </w:r>
            <w:r>
              <w:t>     Se modifica el Parágrafo I del Artículo 30 del Decreto Supremo Nº 0181, de 28 de junio de 2009, Normas Básicas del Sistema de Administración de Bienes y Servicios, con el siguiente texto:</w:t>
            </w:r>
          </w:p>
          <w:p w:rsidR="00000000" w:rsidRDefault="007C189E">
            <w:pPr>
              <w:pStyle w:val="NormalWeb"/>
            </w:pPr>
            <w:r>
              <w:rPr>
                <w:rStyle w:val="nfasis"/>
              </w:rPr>
              <w:t>“</w:t>
            </w:r>
            <w:r>
              <w:rPr>
                <w:rStyle w:val="Textoennegrita"/>
                <w:i/>
                <w:iCs/>
              </w:rPr>
              <w:t>I.</w:t>
            </w:r>
            <w:r>
              <w:rPr>
                <w:rStyle w:val="nfasis"/>
              </w:rPr>
              <w:t xml:space="preserve">     Para bienes se aplicarán los siguientes Márgenes de Pre</w:t>
            </w:r>
            <w:r>
              <w:rPr>
                <w:rStyle w:val="nfasis"/>
              </w:rPr>
              <w:t>ferencia y Factores de Ajuste:</w:t>
            </w:r>
          </w:p>
          <w:p w:rsidR="00000000" w:rsidRDefault="007C189E">
            <w:pPr>
              <w:pStyle w:val="NormalWeb"/>
            </w:pPr>
            <w:r>
              <w:rPr>
                <w:rStyle w:val="nfasis"/>
              </w:rPr>
              <w:t>a)      En la modalidad ANPE se aplicará uno de los siguientes márgenes de preferencia:</w:t>
            </w:r>
          </w:p>
          <w:p w:rsidR="00000000" w:rsidRDefault="007C189E">
            <w:pPr>
              <w:pStyle w:val="NormalWeb"/>
            </w:pPr>
            <w:r>
              <w:rPr>
                <w:rStyle w:val="nfasis"/>
              </w:rPr>
              <w:t>i.        Diez por ciento (10%) al precio ofertado en aquellos bienes producidos en el país, independientemente del origen de los insumos</w:t>
            </w:r>
            <w:r>
              <w:rPr>
                <w:rStyle w:val="nfasis"/>
              </w:rPr>
              <w:t>. El factor numérico de ajuste será de noventa centésimos (0.90);</w:t>
            </w:r>
          </w:p>
          <w:p w:rsidR="00000000" w:rsidRDefault="007C189E">
            <w:pPr>
              <w:pStyle w:val="NormalWeb"/>
            </w:pPr>
            <w:r>
              <w:rPr>
                <w:rStyle w:val="nfasis"/>
              </w:rPr>
              <w:t>ii.       Veinticinco por ciento (25%) al precio ofertado, cuando el porcentaje de componentes de origen nacional (materia prima y mano de obra) del costo bruto de producción se encuentren e</w:t>
            </w:r>
            <w:r>
              <w:rPr>
                <w:rStyle w:val="nfasis"/>
              </w:rPr>
              <w:t>ntre el treinta por ciento (30%) y el cincuenta por ciento (50%). El factor numérico de ajuste será de setenta y cinco centésimos (0.75);</w:t>
            </w:r>
          </w:p>
          <w:p w:rsidR="00000000" w:rsidRDefault="007C189E">
            <w:pPr>
              <w:pStyle w:val="NormalWeb"/>
            </w:pPr>
            <w:r>
              <w:rPr>
                <w:rStyle w:val="nfasis"/>
              </w:rPr>
              <w:t xml:space="preserve">iii.      Treinta y cinco por ciento (35%) al precio ofertado, cuando el porcentaje de componentes de origen nacional </w:t>
            </w:r>
            <w:r>
              <w:rPr>
                <w:rStyle w:val="nfasis"/>
              </w:rPr>
              <w:t xml:space="preserve">(materia prima y mano de obra) del costo bruto de producción sea mayor al cincuenta por ciento (50%). El factor numérico de ajuste será de sesenta y cinco centésimos (0.65). </w:t>
            </w:r>
          </w:p>
          <w:p w:rsidR="00000000" w:rsidRDefault="007C189E">
            <w:pPr>
              <w:pStyle w:val="NormalWeb"/>
            </w:pPr>
            <w:r>
              <w:rPr>
                <w:rStyle w:val="nfasis"/>
              </w:rPr>
              <w:t>b)      En la modalidad de Licitación Pública se aplicará uno de los siguientes m</w:t>
            </w:r>
            <w:r>
              <w:rPr>
                <w:rStyle w:val="nfasis"/>
              </w:rPr>
              <w:t>árgenes de preferencia:</w:t>
            </w:r>
            <w:r>
              <w:br/>
            </w:r>
            <w:r>
              <w:br/>
            </w:r>
            <w:r>
              <w:rPr>
                <w:rStyle w:val="nfasis"/>
              </w:rPr>
              <w:t>i.        Diez por ciento (10%) al precio ofertado en aquellos bienes producidos en el país, independientemente del origen de los insumos. El factor numérico de ajuste será de noventa centésimos (0.90);</w:t>
            </w:r>
          </w:p>
          <w:p w:rsidR="00000000" w:rsidRDefault="007C189E">
            <w:pPr>
              <w:pStyle w:val="NormalWeb"/>
            </w:pPr>
            <w:r>
              <w:rPr>
                <w:rStyle w:val="nfasis"/>
              </w:rPr>
              <w:t xml:space="preserve">ii.       Veinte </w:t>
            </w:r>
            <w:r>
              <w:rPr>
                <w:rStyle w:val="nfasis"/>
              </w:rPr>
              <w:t xml:space="preserve">por ciento (20%) al precio ofertado, cuando el porcentaje de componentes de origen nacional (materia prima y mano de obra) del costo bruto de producción se encuentren entre el treinta por ciento (30%) y el cincuenta por ciento (50%). El factor numérico de </w:t>
            </w:r>
            <w:r>
              <w:rPr>
                <w:rStyle w:val="nfasis"/>
              </w:rPr>
              <w:t xml:space="preserve">ajuste será de ochenta centésimos (0.80). </w:t>
            </w:r>
            <w:r>
              <w:br/>
            </w:r>
            <w:r>
              <w:br/>
            </w:r>
            <w:r>
              <w:rPr>
                <w:rStyle w:val="nfasis"/>
              </w:rPr>
              <w:t xml:space="preserve">iii.      Treinta por ciento (30%) al precio ofertado, cuando el porcentaje de componentes de origen nacional (materia prima y mano de obra) del costo bruto de producción sea mayor al cincuenta por ciento (50%). </w:t>
            </w:r>
            <w:r>
              <w:rPr>
                <w:rStyle w:val="nfasis"/>
              </w:rPr>
              <w:t>El factor numérico de ajuste será de setenta centésimos (0.70).”</w:t>
            </w:r>
          </w:p>
          <w:p w:rsidR="00000000" w:rsidRDefault="007C189E">
            <w:pPr>
              <w:pStyle w:val="NormalWeb"/>
            </w:pPr>
            <w:r>
              <w:rPr>
                <w:rStyle w:val="Textoennegrita"/>
              </w:rPr>
              <w:t>II.</w:t>
            </w:r>
            <w:r>
              <w:t xml:space="preserve">          Se modifica el Parágrafo I del Artículo 24 del Decreto Supremo Nº 0181, de 28 de junio de 2009, Normas Básicas del Sistema de Administración de Bienes y Servicios, con el siguien</w:t>
            </w:r>
            <w:r>
              <w:t xml:space="preserve">te texto: </w:t>
            </w:r>
          </w:p>
          <w:p w:rsidR="00000000" w:rsidRDefault="007C189E">
            <w:pPr>
              <w:pStyle w:val="NormalWeb"/>
            </w:pPr>
            <w:r>
              <w:rPr>
                <w:rStyle w:val="nfasis"/>
              </w:rPr>
              <w:t>“</w:t>
            </w:r>
            <w:r>
              <w:rPr>
                <w:rStyle w:val="Textoennegrita"/>
                <w:i/>
                <w:iCs/>
              </w:rPr>
              <w:t>I.</w:t>
            </w:r>
            <w:r>
              <w:rPr>
                <w:rStyle w:val="nfasis"/>
              </w:rPr>
              <w:t xml:space="preserve">     En casos de ventaja técnica o económica, la contratación de bienes y servicios podrá ser adjudicada por ítems, lotes, tramos o paquetes, mediante una sola convocatoria.</w:t>
            </w:r>
          </w:p>
          <w:p w:rsidR="00000000" w:rsidRDefault="007C189E">
            <w:pPr>
              <w:pStyle w:val="NormalWeb"/>
            </w:pPr>
            <w:r>
              <w:rPr>
                <w:rStyle w:val="nfasis"/>
              </w:rPr>
              <w:t>          En caso de adquirir bienes producidos en el país, se podrá</w:t>
            </w:r>
            <w:r>
              <w:rPr>
                <w:rStyle w:val="nfasis"/>
              </w:rPr>
              <w:t xml:space="preserve"> adjudicar por ítems o lotes mediante una sola convocatoria.”</w:t>
            </w:r>
          </w:p>
          <w:p w:rsidR="00000000" w:rsidRDefault="007C189E">
            <w:pPr>
              <w:pStyle w:val="NormalWeb"/>
              <w:jc w:val="center"/>
            </w:pPr>
            <w:r>
              <w:rPr>
                <w:rStyle w:val="Textoennegrita"/>
              </w:rPr>
              <w:t>DISPOSICIONES ADICIONALES</w:t>
            </w:r>
          </w:p>
          <w:p w:rsidR="00000000" w:rsidRDefault="007C189E">
            <w:pPr>
              <w:pStyle w:val="NormalWeb"/>
            </w:pPr>
            <w:r>
              <w:rPr>
                <w:rStyle w:val="Textoennegrita"/>
              </w:rPr>
              <w:t>DISPOSICIÓN ADICIONAL ÚNICA.-</w:t>
            </w:r>
            <w:r>
              <w:t xml:space="preserve"> El Ministerio de Desarrollo Productivo y Economía Plural, establecerá plazos de entrega referenciales para productos específicos de acuerd</w:t>
            </w:r>
            <w:r>
              <w:t xml:space="preserve">o a las condiciones de producción de la industria nacional. </w:t>
            </w:r>
          </w:p>
          <w:p w:rsidR="00000000" w:rsidRDefault="007C189E">
            <w:pPr>
              <w:pStyle w:val="NormalWeb"/>
            </w:pPr>
            <w:r>
              <w:t>Las entidades contratantes deberán considerar dichos plazos en sus procesos de contratación.</w:t>
            </w:r>
          </w:p>
          <w:p w:rsidR="00000000" w:rsidRDefault="007C189E">
            <w:pPr>
              <w:pStyle w:val="NormalWeb"/>
            </w:pPr>
            <w:r>
              <w:t>En caso que el Ministerio de Desarrollo Productivo y Economía Plural no haya establecido plazos de ent</w:t>
            </w:r>
            <w:r>
              <w:t xml:space="preserve">rega referenciales para un determinado bien, la entidad contratante establecerá los plazos correspondientes. </w:t>
            </w:r>
          </w:p>
          <w:p w:rsidR="00000000" w:rsidRDefault="007C189E">
            <w:pPr>
              <w:pStyle w:val="NormalWeb"/>
            </w:pPr>
            <w:r>
              <w:t xml:space="preserve">Los señores Ministros de Estado en los Despachos de Economía y Finanzas Públicas; y de Desarrollo Productivo y Economía Plural, quedan encargados </w:t>
            </w:r>
            <w:r>
              <w:t>de la ejecución y cumplimiento del presente Decreto Supremo.</w:t>
            </w:r>
          </w:p>
          <w:p w:rsidR="00000000" w:rsidRDefault="007C189E">
            <w:pPr>
              <w:pStyle w:val="NormalWeb"/>
            </w:pPr>
            <w:r>
              <w:t>Es dado en el Palacio de Gobierno de la ciudad de La Paz, al primer día del mes de mayo del año dos mil dieciséis.</w:t>
            </w:r>
          </w:p>
          <w:p w:rsidR="00000000" w:rsidRDefault="007C189E">
            <w:pPr>
              <w:pStyle w:val="NormalWeb"/>
            </w:pPr>
            <w:r>
              <w:rPr>
                <w:rStyle w:val="Textoennegrita"/>
              </w:rPr>
              <w:t>FDO. EVO MORALES AYMA</w:t>
            </w:r>
            <w:r>
              <w:t>, David Choquehuanca Céspedes, Juan Ramón Quintana Taborga,</w:t>
            </w:r>
            <w:r>
              <w:t xml:space="preserve"> Carlos Gustavo Romero Bonifaz, Reymi Luis Ferreira Justiniano, Rene Gonzalo Orellana Halkyer, Luis Alberto Arce Catacora, Luis Alberto Sanchez Fernandez, Ana Veronica Ramos Morales, Milton Claros Hinojosa, Félix Cesar Navarro Miranda, Virginia Velasco Con</w:t>
            </w:r>
            <w:r>
              <w:t>dori, José Gonzalo Trigoso Agudo, Ariana Campero Nava, María Alexandra Moreira Lopez, Roberto Iván Aguilar Gómez, Cesar Hugo Cocarico Yana, Hugo José Siles Nuñez del Prado, Lenny Tatiana Valdivia Bautista, Marko Marcelo Machicao Bankovic, Marianela Paco Du</w:t>
            </w:r>
            <w:r>
              <w:t>ran, Tito Rolando Montaño Rivera.</w:t>
            </w:r>
          </w:p>
          <w:p w:rsidR="00000000" w:rsidRDefault="007C189E">
            <w:pPr>
              <w:rPr>
                <w:rFonts w:eastAsia="Times New Roman"/>
              </w:rPr>
            </w:pPr>
            <w:r>
              <w:rPr>
                <w:rFonts w:eastAsia="Times New Roman"/>
              </w:rPr>
              <w:pict>
                <v:rect id="_x0000_i1026" style="width:0;height:1.5pt" o:hralign="center" o:hrstd="t" o:hr="t" fillcolor="#a0a0a0" stroked="f"/>
              </w:pict>
            </w:r>
          </w:p>
          <w:p w:rsidR="00000000" w:rsidRDefault="007C189E">
            <w:pPr>
              <w:rPr>
                <w:rFonts w:eastAsia="Times New Roman"/>
              </w:rPr>
            </w:pPr>
            <w:r>
              <w:rPr>
                <w:rStyle w:val="Textoennegrita"/>
                <w:rFonts w:eastAsia="Times New Roman"/>
              </w:rPr>
              <w:t>SUSCRIPCION OBLIGATORIA</w:t>
            </w:r>
            <w:r>
              <w:rPr>
                <w:rFonts w:eastAsia="Times New Roman"/>
              </w:rPr>
              <w:t xml:space="preserve"> </w:t>
            </w:r>
          </w:p>
          <w:p w:rsidR="00000000" w:rsidRDefault="007C189E">
            <w:pPr>
              <w:jc w:val="center"/>
              <w:rPr>
                <w:rFonts w:eastAsia="Times New Roman"/>
              </w:rPr>
            </w:pPr>
            <w:r>
              <w:rPr>
                <w:rStyle w:val="Textoennegrita"/>
                <w:rFonts w:eastAsia="Times New Roman"/>
              </w:rPr>
              <w:t>DECRETO SUPREMO Nº 690</w:t>
            </w:r>
          </w:p>
          <w:p w:rsidR="00000000" w:rsidRDefault="007C189E">
            <w:pPr>
              <w:rPr>
                <w:rFonts w:eastAsia="Times New Roman"/>
              </w:rPr>
            </w:pPr>
            <w:r>
              <w:rPr>
                <w:rFonts w:eastAsia="Times New Roman"/>
              </w:rPr>
              <w:br/>
            </w:r>
            <w:r>
              <w:rPr>
                <w:rStyle w:val="Textoennegrita"/>
                <w:rFonts w:eastAsia="Times New Roman"/>
              </w:rPr>
              <w:t xml:space="preserve">03 DE NOVIEMBRE DE 2010 .- </w:t>
            </w:r>
            <w:r>
              <w:rPr>
                <w:rFonts w:eastAsia="Times New Roman"/>
              </w:rPr>
              <w:t>Dispone la suscripción obligatoria, sin excepción alguna, de todas las entidades del sector público que confor</w:t>
            </w:r>
            <w:r>
              <w:rPr>
                <w:rFonts w:eastAsia="Times New Roman"/>
              </w:rPr>
              <w:t>man la estructura organizativa del Organo Ejecutivo, así como de entidades y empresas públicas que se encuentran bajo su dependencia o tuición, a la Gaceta Oficial de Bolivia, dependiente del Ministerio de la Presidencia, para la obtención física de Leyes,</w:t>
            </w:r>
            <w:r>
              <w:rPr>
                <w:rFonts w:eastAsia="Times New Roman"/>
              </w:rPr>
              <w:t xml:space="preserve"> Decretos y Resoluciones Supremas.</w:t>
            </w:r>
            <w:r>
              <w:rPr>
                <w:rFonts w:eastAsia="Times New Roman"/>
              </w:rPr>
              <w:t xml:space="preserve"> </w:t>
            </w:r>
          </w:p>
        </w:tc>
      </w:tr>
      <w:tr w:rsidR="00000000">
        <w:trPr>
          <w:tblCellSpacing w:w="15" w:type="dxa"/>
          <w:jc w:val="center"/>
        </w:trPr>
        <w:tc>
          <w:tcPr>
            <w:tcW w:w="0" w:type="auto"/>
            <w:vAlign w:val="center"/>
            <w:hideMark/>
          </w:tcPr>
          <w:p w:rsidR="00000000" w:rsidRDefault="007C189E">
            <w:pPr>
              <w:jc w:val="right"/>
              <w:rPr>
                <w:rFonts w:eastAsia="Times New Roman"/>
              </w:rPr>
            </w:pPr>
          </w:p>
          <w:p w:rsidR="00000000" w:rsidRDefault="007C189E">
            <w:pPr>
              <w:jc w:val="right"/>
              <w:rPr>
                <w:rFonts w:eastAsia="Times New Roman"/>
              </w:rPr>
            </w:pPr>
            <w:r>
              <w:rPr>
                <w:rFonts w:eastAsia="Times New Roman"/>
              </w:rPr>
              <w:pict>
                <v:rect id="_x0000_i1027" style="width:0;height:1.5pt" o:hralign="center" o:hrstd="t" o:hr="t" fillcolor="#a0a0a0" stroked="f"/>
              </w:pict>
            </w:r>
          </w:p>
          <w:p w:rsidR="00000000" w:rsidRDefault="007C189E">
            <w:pPr>
              <w:jc w:val="right"/>
              <w:rPr>
                <w:rFonts w:eastAsia="Times New Roman"/>
              </w:rPr>
            </w:pPr>
            <w:r>
              <w:rPr>
                <w:rStyle w:val="Textoennegrita"/>
                <w:rFonts w:eastAsia="Times New Roman"/>
                <w:sz w:val="18"/>
                <w:szCs w:val="18"/>
              </w:rPr>
              <w:t>TEXTO DE CONSULTA</w:t>
            </w:r>
            <w:r>
              <w:rPr>
                <w:rStyle w:val="Textoennegrita"/>
                <w:rFonts w:eastAsia="Times New Roman"/>
                <w:sz w:val="18"/>
                <w:szCs w:val="18"/>
              </w:rPr>
              <w:t xml:space="preserve"> </w:t>
            </w:r>
            <w:r>
              <w:rPr>
                <w:rFonts w:eastAsia="Times New Roman"/>
              </w:rPr>
              <w:br/>
              <w:t xml:space="preserve">Gaceta Oficial del Estado Plurinacional de Bolivia </w:t>
            </w:r>
            <w:r>
              <w:rPr>
                <w:rFonts w:eastAsia="Times New Roman"/>
              </w:rPr>
              <w:br/>
              <w:t xml:space="preserve">Derechos Reservados © 2015 </w:t>
            </w:r>
            <w:r>
              <w:rPr>
                <w:rFonts w:eastAsia="Times New Roman"/>
              </w:rPr>
              <w:br/>
            </w:r>
            <w:r>
              <w:rPr>
                <w:rStyle w:val="Textoennegrita"/>
                <w:rFonts w:eastAsia="Times New Roman"/>
              </w:rPr>
              <w:t>www.gacetaoficialdebolivia.gob.bo</w:t>
            </w:r>
            <w:r>
              <w:rPr>
                <w:rFonts w:eastAsia="Times New Roman"/>
              </w:rPr>
              <w:t xml:space="preserve"> </w:t>
            </w:r>
          </w:p>
        </w:tc>
      </w:tr>
    </w:tbl>
    <w:p w:rsidR="007C189E" w:rsidRDefault="007C189E">
      <w:pPr>
        <w:rPr>
          <w:rFonts w:eastAsia="Times New Roman"/>
        </w:rPr>
      </w:pPr>
    </w:p>
    <w:sectPr w:rsidR="007C189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4"/>
  </w:compat>
  <w:rsids>
    <w:rsidRoot w:val="00794888"/>
    <w:rsid w:val="00794888"/>
    <w:rsid w:val="007C189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Textoennegrita">
    <w:name w:val="Strong"/>
    <w:basedOn w:val="Fuentedeprrafopredeter"/>
    <w:uiPriority w:val="22"/>
    <w:qFormat/>
    <w:rPr>
      <w:b/>
      <w:bCs/>
    </w:rPr>
  </w:style>
  <w:style w:type="character" w:styleId="nfasis">
    <w:name w:val="Emphasis"/>
    <w:basedOn w:val="Fuentedeprrafopredeter"/>
    <w:uiPriority w:val="20"/>
    <w:qFormat/>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Textoennegrita">
    <w:name w:val="Strong"/>
    <w:basedOn w:val="Fuentedeprrafopredeter"/>
    <w:uiPriority w:val="22"/>
    <w:qFormat/>
    <w:rPr>
      <w:b/>
      <w:bCs/>
    </w:rPr>
  </w:style>
  <w:style w:type="character" w:styleId="nfasis">
    <w:name w:val="Emphasis"/>
    <w:basedOn w:val="Fuentedeprrafopredeter"/>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999</Words>
  <Characters>5498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GACETA OFICIAL DEL ESTADO PLURINACIONAL DE BOLIVIA</vt:lpstr>
    </vt:vector>
  </TitlesOfParts>
  <Company/>
  <LinksUpToDate>false</LinksUpToDate>
  <CharactersWithSpaces>6485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GACETA OFICIAL DEL ESTADO PLURINACIONAL DE BOLIVIA</dc:title>
  <dc:creator>Jose Luis Rodriguez Santy</dc:creator>
  <cp:lastModifiedBy>Jose Luis Rodriguez Santy</cp:lastModifiedBy>
  <cp:revision>2</cp:revision>
  <dcterms:created xsi:type="dcterms:W3CDTF">2016-09-19T15:09:00Z</dcterms:created>
  <dcterms:modified xsi:type="dcterms:W3CDTF">2016-09-19T15:09:00Z</dcterms:modified>
</cp:coreProperties>
</file>